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D5A" w:rsidRPr="000F0748" w:rsidRDefault="00E97E9A" w:rsidP="00695514">
      <w:pPr>
        <w:spacing w:after="0"/>
        <w:ind w:left="-709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proofErr w:type="gramStart"/>
      <w:r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Monsieur ,</w:t>
      </w:r>
      <w:proofErr w:type="gramEnd"/>
      <w:r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madame </w:t>
      </w:r>
      <w:proofErr w:type="spellStart"/>
      <w:r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xxxxxxx</w:t>
      </w:r>
      <w:proofErr w:type="spellEnd"/>
    </w:p>
    <w:p w:rsidR="00990B4E" w:rsidRPr="000F0748" w:rsidRDefault="00E97E9A" w:rsidP="00695514">
      <w:pPr>
        <w:spacing w:after="0"/>
        <w:ind w:left="-709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proofErr w:type="gramStart"/>
      <w:r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rue</w:t>
      </w:r>
      <w:proofErr w:type="gramEnd"/>
      <w:r w:rsidR="0085563B"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</w:t>
      </w:r>
    </w:p>
    <w:p w:rsidR="00695514" w:rsidRPr="000F0748" w:rsidRDefault="00695514" w:rsidP="00695514">
      <w:pPr>
        <w:spacing w:after="0"/>
        <w:ind w:left="-709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35400 Saint</w:t>
      </w:r>
      <w:r w:rsidR="0085563B"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-</w:t>
      </w:r>
      <w:r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Malo</w:t>
      </w:r>
      <w:r w:rsidR="0085563B"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</w:t>
      </w:r>
    </w:p>
    <w:p w:rsidR="00E97E9A" w:rsidRPr="000F0748" w:rsidRDefault="00E97E9A" w:rsidP="00B16FC7">
      <w:pPr>
        <w:spacing w:after="0"/>
        <w:ind w:left="5812" w:right="-472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Madame </w:t>
      </w:r>
      <w:proofErr w:type="gramStart"/>
      <w:r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la commissaire enquêteur</w:t>
      </w:r>
      <w:proofErr w:type="gramEnd"/>
      <w:r w:rsidR="007C761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</w:t>
      </w:r>
    </w:p>
    <w:p w:rsidR="005D1745" w:rsidRPr="000F0748" w:rsidRDefault="00E97E9A" w:rsidP="00B16FC7">
      <w:pPr>
        <w:spacing w:after="0"/>
        <w:ind w:left="5812" w:right="-472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Mme Michèle Philippe</w:t>
      </w:r>
      <w:r w:rsidR="007C761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</w:t>
      </w:r>
      <w:r w:rsidR="00A07B25"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fldChar w:fldCharType="begin"/>
      </w:r>
      <w:r w:rsidR="00A07B25"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instrText xml:space="preserve"> MERGEFIELD représentant </w:instrText>
      </w:r>
      <w:r w:rsidR="00A07B25"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fldChar w:fldCharType="end"/>
      </w:r>
      <w:r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</w:t>
      </w:r>
    </w:p>
    <w:p w:rsidR="00E97E9A" w:rsidRPr="000F0748" w:rsidRDefault="00E97E9A" w:rsidP="00B16FC7">
      <w:pPr>
        <w:spacing w:after="0"/>
        <w:ind w:left="5812" w:right="-472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18 Chaussée </w:t>
      </w:r>
      <w:r w:rsidR="007C761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É</w:t>
      </w:r>
      <w:r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ric Tabarly</w:t>
      </w:r>
      <w:r w:rsidR="007C761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</w:t>
      </w:r>
    </w:p>
    <w:p w:rsidR="005D1745" w:rsidRPr="000F0748" w:rsidRDefault="004216B1" w:rsidP="00B16FC7">
      <w:pPr>
        <w:spacing w:after="0"/>
        <w:ind w:left="5812" w:right="-472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fldChar w:fldCharType="begin"/>
      </w:r>
      <w:r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instrText xml:space="preserve"> MERGEFIELD CP_et_v</w:instrText>
      </w:r>
      <w:r w:rsidR="007C761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instrText>.</w:instrText>
      </w:r>
      <w:r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instrText xml:space="preserve">ille </w:instrText>
      </w:r>
      <w:r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fldChar w:fldCharType="separate"/>
      </w:r>
      <w:r w:rsidR="007C7618" w:rsidRPr="00051A98">
        <w:rPr>
          <w:rFonts w:ascii="Times New Roman" w:eastAsia="Times New Roman" w:hAnsi="Times New Roman"/>
          <w:i/>
          <w:iCs/>
          <w:noProof/>
          <w:sz w:val="24"/>
          <w:szCs w:val="24"/>
          <w:lang w:eastAsia="fr-FR"/>
        </w:rPr>
        <w:t>35711 RENNES cedex 7</w:t>
      </w:r>
      <w:r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fldChar w:fldCharType="end"/>
      </w:r>
      <w:r w:rsidR="00B16FC7"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</w:t>
      </w:r>
    </w:p>
    <w:p w:rsidR="00A07B25" w:rsidRPr="007C7618" w:rsidRDefault="00A07B25" w:rsidP="00695514">
      <w:pPr>
        <w:spacing w:after="0"/>
        <w:ind w:left="-709"/>
        <w:rPr>
          <w:i/>
        </w:rPr>
      </w:pPr>
    </w:p>
    <w:p w:rsidR="00695514" w:rsidRPr="000F0748" w:rsidRDefault="002A6EE1" w:rsidP="00695514">
      <w:pPr>
        <w:spacing w:after="0"/>
        <w:ind w:left="-709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Objet : </w:t>
      </w:r>
      <w:r w:rsidR="00E97E9A"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Observations sur le projet ‘</w:t>
      </w:r>
      <w:proofErr w:type="spellStart"/>
      <w:r w:rsidR="00E97E9A"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Sémaphore</w:t>
      </w:r>
      <w:proofErr w:type="spellEnd"/>
      <w:proofErr w:type="gramStart"/>
      <w:r w:rsidR="00E97E9A"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’ </w:t>
      </w:r>
      <w:r w:rsidR="005D1745"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</w:t>
      </w:r>
      <w:proofErr w:type="gramEnd"/>
      <w:r w:rsidR="005D1745"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br/>
        <w:t xml:space="preserve">             </w:t>
      </w:r>
      <w:r w:rsidR="007C761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E</w:t>
      </w:r>
      <w:r w:rsidR="00E97E9A" w:rsidRP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nquête publique du 24/09 au 24/10/208)</w:t>
      </w:r>
      <w:r w:rsidR="007C761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</w:t>
      </w:r>
    </w:p>
    <w:p w:rsidR="00695514" w:rsidRPr="000F0748" w:rsidRDefault="00695514">
      <w:pPr>
        <w:rPr>
          <w:i/>
        </w:rPr>
      </w:pPr>
    </w:p>
    <w:p w:rsidR="00695514" w:rsidRPr="00E97E9A" w:rsidRDefault="00E97E9A" w:rsidP="00B16FC7">
      <w:pPr>
        <w:ind w:left="709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Madame </w:t>
      </w:r>
      <w:proofErr w:type="gramStart"/>
      <w:r w:rsidRP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la commissaire enquêteur</w:t>
      </w:r>
      <w:proofErr w:type="gramEnd"/>
      <w:r w:rsidR="0085563B" w:rsidRP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</w:t>
      </w:r>
    </w:p>
    <w:p w:rsidR="00E97E9A" w:rsidRDefault="00E97E9A" w:rsidP="007C7618">
      <w:pPr>
        <w:spacing w:after="0" w:line="312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357F52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Après avoir consulté le dossier d'enquête publique relatif à la tour sémaphore et les 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différents </w:t>
      </w:r>
      <w:r w:rsidRPr="00357F52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avis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,</w:t>
      </w:r>
      <w:r w:rsidRPr="00357F52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dont ceux des </w:t>
      </w:r>
      <w:r w:rsidRPr="00357F52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associations</w:t>
      </w:r>
      <w:r w:rsid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Collectifs Contre la Tour Sémaphore,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ADICEE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et 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OSONS!,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</w:t>
      </w:r>
      <w:r w:rsidRPr="00357F52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je considère 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que </w:t>
      </w:r>
      <w:r w:rsidRPr="00357F52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pour les multiples raisons détaillées dans les contributions 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présentes sur le registre d’enquête</w:t>
      </w:r>
      <w:r w:rsid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,</w:t>
      </w:r>
      <w:r w:rsidRPr="00357F52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que 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ce projet n’est pas d’</w:t>
      </w:r>
      <w:r w:rsidRPr="00357F52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intérêt général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</w:t>
      </w:r>
    </w:p>
    <w:p w:rsidR="007C7618" w:rsidRPr="007C7618" w:rsidRDefault="007C7618" w:rsidP="007C7618">
      <w:pPr>
        <w:pStyle w:val="Paragraphedeliste"/>
        <w:numPr>
          <w:ilvl w:val="0"/>
          <w:numId w:val="4"/>
        </w:numPr>
        <w:spacing w:after="0" w:line="288" w:lineRule="auto"/>
        <w:ind w:left="714" w:hanging="357"/>
        <w:jc w:val="both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7C761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La hauteur, question centrale du projet, est complètement négligée dans la partie intérêt général du dossier d’enquête.</w:t>
      </w:r>
    </w:p>
    <w:p w:rsidR="007C7618" w:rsidRPr="007C7618" w:rsidRDefault="007C7618" w:rsidP="007C7618">
      <w:pPr>
        <w:pStyle w:val="Paragraphedeliste"/>
        <w:numPr>
          <w:ilvl w:val="0"/>
          <w:numId w:val="4"/>
        </w:numPr>
        <w:spacing w:after="0" w:line="288" w:lineRule="auto"/>
        <w:ind w:left="714" w:hanging="357"/>
        <w:jc w:val="both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7C761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La densité utilisée comme argument n’est pas fondée, les modèles montrent bien que les tours produisent une densité inférieure à celle des collectifs tels que ceux du quartier.</w:t>
      </w:r>
    </w:p>
    <w:p w:rsidR="007C7618" w:rsidRPr="007C7618" w:rsidRDefault="007C7618" w:rsidP="007C7618">
      <w:pPr>
        <w:pStyle w:val="Paragraphedeliste"/>
        <w:numPr>
          <w:ilvl w:val="0"/>
          <w:numId w:val="4"/>
        </w:numPr>
        <w:spacing w:after="0" w:line="288" w:lineRule="auto"/>
        <w:ind w:left="714" w:hanging="357"/>
        <w:jc w:val="both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7C761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Les activités ne sont soutenues par aucune étude crédible et surtout aucune étude à l’échelle du territoire.</w:t>
      </w:r>
    </w:p>
    <w:p w:rsidR="007C7618" w:rsidRPr="007C7618" w:rsidRDefault="007C7618" w:rsidP="007C7618">
      <w:pPr>
        <w:pStyle w:val="Paragraphedeliste"/>
        <w:numPr>
          <w:ilvl w:val="0"/>
          <w:numId w:val="4"/>
        </w:numPr>
        <w:spacing w:after="0" w:line="288" w:lineRule="auto"/>
        <w:ind w:left="714" w:hanging="357"/>
        <w:jc w:val="both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7C761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L’originalité, autre argument, est factice, le recensement des projets de tour en France et édifiant au point de dire que celles-ci risquent d’être rapidement aussi originales qu’une FNAC ou un MC Donald.</w:t>
      </w:r>
    </w:p>
    <w:p w:rsidR="00E97E9A" w:rsidRDefault="00E97E9A" w:rsidP="007C7618">
      <w:pPr>
        <w:spacing w:after="0" w:line="312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Ce</w:t>
      </w:r>
      <w:r w:rsidRPr="00357F52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projet est contraire au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x</w:t>
      </w:r>
      <w:r w:rsidRPr="00357F52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principes d'aménagement actuels </w:t>
      </w:r>
      <w:r w:rsidR="007C761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et en particulier aux objectifs urbanistiques </w:t>
      </w:r>
      <w:r w:rsidRPr="00357F52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de la commune</w:t>
      </w:r>
      <w:r w:rsidR="007C761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 D’autre part, le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dossier présenté ne permet pas de connaître, de comprendre et encore moins de garantir les impacts </w:t>
      </w:r>
      <w:r w:rsidR="007C761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de cette modification des règles du P.L.U.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sur l’évolution </w:t>
      </w:r>
      <w:r w:rsidR="007C761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générale 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de l’urbanisme à Saint-Malo. </w:t>
      </w:r>
    </w:p>
    <w:p w:rsidR="00E97E9A" w:rsidRDefault="00E97E9A" w:rsidP="007C7618">
      <w:pPr>
        <w:spacing w:after="0" w:line="312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Elle ne peut constituer l’intérêt général :</w:t>
      </w:r>
    </w:p>
    <w:p w:rsidR="00E97E9A" w:rsidRDefault="007C7618" w:rsidP="00E97E9A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A</w:t>
      </w:r>
      <w:r w:rsidR="00E97E9A" w:rsidRP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lors que le reste des équipements et 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des </w:t>
      </w:r>
      <w:r w:rsidR="00E97E9A" w:rsidRP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logements</w:t>
      </w:r>
      <w:r w:rsid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prévus par ce programme</w:t>
      </w:r>
      <w:r w:rsidR="00E97E9A" w:rsidRP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peuvent prendre leur place dans la rénovation du quartier qui débute</w:t>
      </w:r>
      <w:r w:rsid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avec les règles du P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</w:t>
      </w:r>
      <w:r w:rsid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</w:t>
      </w:r>
      <w:r w:rsid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U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</w:t>
      </w:r>
      <w:r w:rsid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actuel</w:t>
      </w:r>
      <w:r w:rsidR="00E97E9A" w:rsidRP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</w:t>
      </w:r>
    </w:p>
    <w:p w:rsidR="00E97E9A" w:rsidRPr="00E97E9A" w:rsidRDefault="007C7618" w:rsidP="00E97E9A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A</w:t>
      </w:r>
      <w:r w:rsid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lors que la bonne échelle pour traiter la question de la hauteur est l’ensemble de la ville et le grand paysage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</w:t>
      </w:r>
      <w:r w:rsid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</w:t>
      </w:r>
    </w:p>
    <w:p w:rsidR="00E97E9A" w:rsidRDefault="005D1745" w:rsidP="007C7618">
      <w:pPr>
        <w:spacing w:after="0" w:line="312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bookmarkStart w:id="0" w:name="_GoBack"/>
      <w:r w:rsidRP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Veuillez agréer, </w:t>
      </w:r>
      <w:r w:rsidR="007C761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m</w:t>
      </w:r>
      <w:r w:rsidR="00E97E9A" w:rsidRP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adame la commissaire enquêteur</w:t>
      </w:r>
      <w:r w:rsidR="00A07B25" w:rsidRP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,</w:t>
      </w:r>
      <w:r w:rsidRP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l’expression de </w:t>
      </w:r>
      <w:r w:rsidR="000F074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ma</w:t>
      </w:r>
      <w:r w:rsidRP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détermination à </w:t>
      </w:r>
      <w:r w:rsid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obtenir le gel de toutes modifications du P</w:t>
      </w:r>
      <w:r w:rsidR="007C761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</w:t>
      </w:r>
      <w:r w:rsid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L</w:t>
      </w:r>
      <w:r w:rsidR="007C761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</w:t>
      </w:r>
      <w:r w:rsid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U</w:t>
      </w:r>
      <w:r w:rsidR="007C761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</w:t>
      </w:r>
      <w:r w:rsid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avant sa révision générale</w:t>
      </w:r>
      <w:r w:rsidR="007C761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</w:t>
      </w:r>
      <w:r w:rsid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</w:t>
      </w:r>
    </w:p>
    <w:bookmarkEnd w:id="0"/>
    <w:p w:rsidR="00E97E9A" w:rsidRDefault="00E97E9A" w:rsidP="00E97E9A">
      <w:pPr>
        <w:spacing w:after="0" w:line="360" w:lineRule="auto"/>
        <w:ind w:right="1820"/>
        <w:jc w:val="right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</w:p>
    <w:p w:rsidR="00E97E9A" w:rsidRDefault="007C7618" w:rsidP="00E97E9A">
      <w:pPr>
        <w:spacing w:after="0" w:line="360" w:lineRule="auto"/>
        <w:ind w:right="1820"/>
        <w:jc w:val="right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S</w:t>
      </w:r>
      <w:r w:rsid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ignature</w:t>
      </w:r>
      <w:r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</w:t>
      </w:r>
    </w:p>
    <w:p w:rsidR="00E97E9A" w:rsidRDefault="00E97E9A" w:rsidP="00E97E9A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</w:p>
    <w:p w:rsidR="00E97E9A" w:rsidRDefault="00E97E9A" w:rsidP="00E97E9A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A envoy</w:t>
      </w:r>
      <w:r w:rsidR="007C761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é</w:t>
      </w:r>
      <w:r w:rsidRP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par mail à l’adresse https://www.registre-dematerialise.fr/888 </w:t>
      </w:r>
    </w:p>
    <w:p w:rsidR="00206290" w:rsidRPr="00E97E9A" w:rsidRDefault="00E97E9A" w:rsidP="00E97E9A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fr-FR"/>
        </w:rPr>
      </w:pPr>
      <w:r w:rsidRP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18 Chaussée </w:t>
      </w:r>
      <w:r w:rsidR="007C7618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É</w:t>
      </w:r>
      <w:r w:rsidRP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ric Tabarly </w:t>
      </w:r>
      <w:r w:rsidRP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fldChar w:fldCharType="begin"/>
      </w:r>
      <w:r w:rsidRP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instrText xml:space="preserve"> MERGEFIELD CP_et_ville </w:instrText>
      </w:r>
      <w:r w:rsidRP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fldChar w:fldCharType="separate"/>
      </w:r>
      <w:r w:rsidR="007C7618" w:rsidRPr="00051A98">
        <w:rPr>
          <w:rFonts w:ascii="Times New Roman" w:eastAsia="Times New Roman" w:hAnsi="Times New Roman"/>
          <w:i/>
          <w:iCs/>
          <w:noProof/>
          <w:sz w:val="24"/>
          <w:szCs w:val="24"/>
          <w:lang w:eastAsia="fr-FR"/>
        </w:rPr>
        <w:t>35711 RENNES cedex 7</w:t>
      </w:r>
      <w:r w:rsidRP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fldChar w:fldCharType="end"/>
      </w:r>
      <w:r w:rsidR="005D1745" w:rsidRPr="00E97E9A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>.</w:t>
      </w:r>
    </w:p>
    <w:sectPr w:rsidR="00206290" w:rsidRPr="00E97E9A" w:rsidSect="007C76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3" w:bottom="426" w:left="1440" w:header="426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57F" w:rsidRDefault="00BA257F" w:rsidP="00A304FD">
      <w:pPr>
        <w:spacing w:after="0" w:line="240" w:lineRule="auto"/>
      </w:pPr>
      <w:r>
        <w:separator/>
      </w:r>
    </w:p>
  </w:endnote>
  <w:endnote w:type="continuationSeparator" w:id="0">
    <w:p w:rsidR="00BA257F" w:rsidRDefault="00BA257F" w:rsidP="00A3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618" w:rsidRDefault="007C761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618" w:rsidRDefault="007C761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618" w:rsidRDefault="007C76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57F" w:rsidRDefault="00BA257F" w:rsidP="00A304FD">
      <w:pPr>
        <w:spacing w:after="0" w:line="240" w:lineRule="auto"/>
      </w:pPr>
      <w:r>
        <w:separator/>
      </w:r>
    </w:p>
  </w:footnote>
  <w:footnote w:type="continuationSeparator" w:id="0">
    <w:p w:rsidR="00BA257F" w:rsidRDefault="00BA257F" w:rsidP="00A30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618" w:rsidRDefault="007C761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618" w:rsidRDefault="007C761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618" w:rsidRDefault="007C76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0EDA"/>
    <w:multiLevelType w:val="hybridMultilevel"/>
    <w:tmpl w:val="0C72E2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41DB4"/>
    <w:multiLevelType w:val="hybridMultilevel"/>
    <w:tmpl w:val="69D47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653DB"/>
    <w:multiLevelType w:val="hybridMultilevel"/>
    <w:tmpl w:val="5E7AF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D6CA3"/>
    <w:multiLevelType w:val="hybridMultilevel"/>
    <w:tmpl w:val="DEEA3C8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 w:grammar="clean"/>
  <w:mailMerge>
    <w:mainDocumentType w:val="formLetters"/>
    <w:linkToQuery/>
    <w:dataType w:val="textFile"/>
    <w:connectString w:val=""/>
    <w:query w:val="SELECT * FROM C:\Users\Alain\Documents\OSONS\parc\2018\Résistance\Nouveau dossier\données courrier.docx"/>
    <w:dataSource r:id="rId1"/>
    <w:viewMergedData/>
    <w:activeRecord w:val="34"/>
    <w:odso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fonction"/>
        <w:mappedName w:val="Poste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00"/>
    <w:rsid w:val="00002008"/>
    <w:rsid w:val="000B6C8E"/>
    <w:rsid w:val="000C0114"/>
    <w:rsid w:val="000F0748"/>
    <w:rsid w:val="000F779E"/>
    <w:rsid w:val="00112056"/>
    <w:rsid w:val="00114F5E"/>
    <w:rsid w:val="001479F3"/>
    <w:rsid w:val="00172224"/>
    <w:rsid w:val="00194275"/>
    <w:rsid w:val="001B17C5"/>
    <w:rsid w:val="00206290"/>
    <w:rsid w:val="00214079"/>
    <w:rsid w:val="002331B2"/>
    <w:rsid w:val="00260551"/>
    <w:rsid w:val="00263A97"/>
    <w:rsid w:val="00282945"/>
    <w:rsid w:val="00285DE8"/>
    <w:rsid w:val="002A55E3"/>
    <w:rsid w:val="002A6EE1"/>
    <w:rsid w:val="002C4573"/>
    <w:rsid w:val="002C784E"/>
    <w:rsid w:val="002E5FAE"/>
    <w:rsid w:val="00313CD8"/>
    <w:rsid w:val="00351B91"/>
    <w:rsid w:val="00357EFD"/>
    <w:rsid w:val="003C1D68"/>
    <w:rsid w:val="003D1AEE"/>
    <w:rsid w:val="003E0AD3"/>
    <w:rsid w:val="003E0C5F"/>
    <w:rsid w:val="00400822"/>
    <w:rsid w:val="004216B1"/>
    <w:rsid w:val="004254D9"/>
    <w:rsid w:val="004E167E"/>
    <w:rsid w:val="0051599C"/>
    <w:rsid w:val="00524922"/>
    <w:rsid w:val="005308D0"/>
    <w:rsid w:val="00537D3B"/>
    <w:rsid w:val="00576E33"/>
    <w:rsid w:val="00590E90"/>
    <w:rsid w:val="005911D4"/>
    <w:rsid w:val="00595440"/>
    <w:rsid w:val="00595AFD"/>
    <w:rsid w:val="005B275B"/>
    <w:rsid w:val="005C1724"/>
    <w:rsid w:val="005D1745"/>
    <w:rsid w:val="005D3CA2"/>
    <w:rsid w:val="005E1C11"/>
    <w:rsid w:val="005E3F7C"/>
    <w:rsid w:val="00602B8E"/>
    <w:rsid w:val="00603FE7"/>
    <w:rsid w:val="006161B1"/>
    <w:rsid w:val="00640A09"/>
    <w:rsid w:val="00670498"/>
    <w:rsid w:val="00676205"/>
    <w:rsid w:val="00695514"/>
    <w:rsid w:val="006C5A36"/>
    <w:rsid w:val="006D2E1B"/>
    <w:rsid w:val="006D4285"/>
    <w:rsid w:val="006F08A4"/>
    <w:rsid w:val="0073681C"/>
    <w:rsid w:val="007457C3"/>
    <w:rsid w:val="00764F00"/>
    <w:rsid w:val="0077508E"/>
    <w:rsid w:val="007C7618"/>
    <w:rsid w:val="007E1AB0"/>
    <w:rsid w:val="00806AB6"/>
    <w:rsid w:val="00833510"/>
    <w:rsid w:val="00840074"/>
    <w:rsid w:val="0085563B"/>
    <w:rsid w:val="008955F1"/>
    <w:rsid w:val="008E0493"/>
    <w:rsid w:val="008F4166"/>
    <w:rsid w:val="008F505D"/>
    <w:rsid w:val="00955026"/>
    <w:rsid w:val="00990B4E"/>
    <w:rsid w:val="009A5763"/>
    <w:rsid w:val="009C6F38"/>
    <w:rsid w:val="009F4507"/>
    <w:rsid w:val="00A07B25"/>
    <w:rsid w:val="00A25FD9"/>
    <w:rsid w:val="00A304FD"/>
    <w:rsid w:val="00A97524"/>
    <w:rsid w:val="00B06D5A"/>
    <w:rsid w:val="00B16FC7"/>
    <w:rsid w:val="00B229ED"/>
    <w:rsid w:val="00B3087F"/>
    <w:rsid w:val="00B64630"/>
    <w:rsid w:val="00B82DD7"/>
    <w:rsid w:val="00B9588B"/>
    <w:rsid w:val="00BA257F"/>
    <w:rsid w:val="00BC7DA4"/>
    <w:rsid w:val="00BE1EC0"/>
    <w:rsid w:val="00C15EE5"/>
    <w:rsid w:val="00C93DE8"/>
    <w:rsid w:val="00CD577B"/>
    <w:rsid w:val="00CE0B67"/>
    <w:rsid w:val="00D20C2F"/>
    <w:rsid w:val="00D239CB"/>
    <w:rsid w:val="00D52202"/>
    <w:rsid w:val="00D55810"/>
    <w:rsid w:val="00D62881"/>
    <w:rsid w:val="00DA50BF"/>
    <w:rsid w:val="00DB1E55"/>
    <w:rsid w:val="00DB5E88"/>
    <w:rsid w:val="00DF428F"/>
    <w:rsid w:val="00E1100A"/>
    <w:rsid w:val="00E239FA"/>
    <w:rsid w:val="00E455A1"/>
    <w:rsid w:val="00E455CA"/>
    <w:rsid w:val="00E52204"/>
    <w:rsid w:val="00E709E4"/>
    <w:rsid w:val="00E76187"/>
    <w:rsid w:val="00E97E9A"/>
    <w:rsid w:val="00EA55B6"/>
    <w:rsid w:val="00EB0A59"/>
    <w:rsid w:val="00EB73C5"/>
    <w:rsid w:val="00F22D29"/>
    <w:rsid w:val="00F23790"/>
    <w:rsid w:val="00F3459D"/>
    <w:rsid w:val="00F40412"/>
    <w:rsid w:val="00F55A16"/>
    <w:rsid w:val="00FA3BE1"/>
    <w:rsid w:val="00FB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7C80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9E4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5308D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6D42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5308D0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Style4">
    <w:name w:val="Style4"/>
    <w:basedOn w:val="Normal"/>
    <w:uiPriority w:val="99"/>
    <w:rsid w:val="000B6C8E"/>
    <w:pPr>
      <w:spacing w:before="120" w:after="0" w:line="285" w:lineRule="auto"/>
      <w:ind w:left="1440" w:hanging="360"/>
      <w:jc w:val="both"/>
    </w:pPr>
    <w:rPr>
      <w:rFonts w:eastAsia="Times New Roman"/>
      <w:color w:val="000000"/>
      <w:kern w:val="28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A30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A304FD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30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304FD"/>
    <w:rPr>
      <w:rFonts w:cs="Times New Roman"/>
    </w:rPr>
  </w:style>
  <w:style w:type="character" w:styleId="Lienhypertexte">
    <w:name w:val="Hyperlink"/>
    <w:basedOn w:val="Policepardfaut"/>
    <w:uiPriority w:val="99"/>
    <w:rsid w:val="00A304FD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5E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E3F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55CA"/>
    <w:pPr>
      <w:ind w:left="720"/>
      <w:contextualSpacing/>
    </w:pPr>
  </w:style>
  <w:style w:type="table" w:styleId="Grilledutableau">
    <w:name w:val="Table Grid"/>
    <w:basedOn w:val="TableauNormal"/>
    <w:locked/>
    <w:rsid w:val="00260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6D42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D17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14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Alain\Documents\OSONS\parc\2018\R&#233;sistance\Nouveau%20dossier\donn&#233;es%20courrie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2018-10-04T13:07:00Z</dcterms:created>
  <dcterms:modified xsi:type="dcterms:W3CDTF">2018-10-18T12:17:00Z</dcterms:modified>
</cp:coreProperties>
</file>