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B0" w:rsidRPr="004C4292" w:rsidRDefault="002B09B0" w:rsidP="000A6066">
      <w:pPr>
        <w:pStyle w:val="NormalWeb"/>
        <w:spacing w:before="360" w:beforeAutospacing="0" w:after="0" w:afterAutospacing="0"/>
        <w:jc w:val="both"/>
        <w:rPr>
          <w:rFonts w:ascii="Calibri" w:hAnsi="Calibri"/>
          <w:b/>
          <w:color w:val="000000"/>
          <w:kern w:val="24"/>
          <w:u w:val="single"/>
        </w:rPr>
      </w:pPr>
      <w:bookmarkStart w:id="0" w:name="_GoBack"/>
      <w:bookmarkEnd w:id="0"/>
      <w:r w:rsidRPr="004C4292">
        <w:rPr>
          <w:rFonts w:ascii="Calibri" w:hAnsi="Calibri"/>
          <w:b/>
          <w:color w:val="000000"/>
          <w:kern w:val="24"/>
          <w:u w:val="single"/>
        </w:rPr>
        <w:t>Contribution à la concert</w:t>
      </w:r>
      <w:r w:rsidR="004241E0">
        <w:rPr>
          <w:rFonts w:ascii="Calibri" w:hAnsi="Calibri"/>
          <w:b/>
          <w:color w:val="000000"/>
          <w:kern w:val="24"/>
          <w:u w:val="single"/>
        </w:rPr>
        <w:t>ation sur le projet des Nielles</w:t>
      </w:r>
    </w:p>
    <w:p w:rsidR="002B09B0" w:rsidRDefault="002B09B0" w:rsidP="00C454DD">
      <w:pPr>
        <w:pStyle w:val="Titre1"/>
        <w:ind w:left="142"/>
      </w:pPr>
    </w:p>
    <w:p w:rsidR="002B09B0" w:rsidRDefault="002B09B0" w:rsidP="00C454DD">
      <w:pPr>
        <w:pStyle w:val="Titre1"/>
        <w:ind w:left="142"/>
      </w:pPr>
      <w:r w:rsidRPr="0010567C">
        <w:t xml:space="preserve">L’attractivité touristique et économique </w:t>
      </w:r>
    </w:p>
    <w:p w:rsidR="002B09B0" w:rsidRPr="00AF06E2" w:rsidRDefault="002B09B0" w:rsidP="00C454DD">
      <w:pPr>
        <w:ind w:left="426"/>
        <w:rPr>
          <w:b/>
          <w:u w:val="single"/>
        </w:rPr>
      </w:pPr>
      <w:r w:rsidRPr="00AF06E2">
        <w:rPr>
          <w:b/>
          <w:u w:val="single"/>
        </w:rPr>
        <w:t>Au titre</w:t>
      </w:r>
      <w:r w:rsidR="005A489A">
        <w:rPr>
          <w:b/>
          <w:u w:val="single"/>
        </w:rPr>
        <w:t xml:space="preserve"> des fondamentaux de Saint-Malo</w:t>
      </w:r>
    </w:p>
    <w:p w:rsidR="002B09B0" w:rsidRPr="0010567C" w:rsidRDefault="005711B8" w:rsidP="00C454DD">
      <w:pPr>
        <w:ind w:left="426"/>
      </w:pPr>
      <w:r>
        <w:t>À</w:t>
      </w:r>
      <w:r w:rsidR="002B09B0">
        <w:t xml:space="preserve"> la p</w:t>
      </w:r>
      <w:r w:rsidR="002B09B0" w:rsidRPr="0010567C">
        <w:t>age 23 du dossier de concertation</w:t>
      </w:r>
      <w:r>
        <w:t>,</w:t>
      </w:r>
      <w:r w:rsidR="002B09B0">
        <w:t xml:space="preserve"> il est écrit :</w:t>
      </w:r>
    </w:p>
    <w:p w:rsidR="002B09B0" w:rsidRPr="00C454DD" w:rsidRDefault="002B09B0" w:rsidP="00C454DD">
      <w:pPr>
        <w:spacing w:after="60"/>
        <w:ind w:left="426"/>
        <w:jc w:val="both"/>
        <w:rPr>
          <w:i/>
          <w:color w:val="000000"/>
          <w:kern w:val="24"/>
          <w:sz w:val="20"/>
          <w:szCs w:val="20"/>
        </w:rPr>
      </w:pPr>
      <w:r w:rsidRPr="00C454DD">
        <w:rPr>
          <w:i/>
          <w:color w:val="000000"/>
          <w:kern w:val="24"/>
          <w:sz w:val="20"/>
          <w:szCs w:val="20"/>
        </w:rPr>
        <w:t>« Saint-Malo est une destination attractive, aux fondamentaux solides : environnement exceptionnel, notoriété de qualité, évènements culturels et sportifs, destination reconnue de tourisme santé/bien-être, arrivée du TGV et de la LGV ...</w:t>
      </w:r>
    </w:p>
    <w:p w:rsidR="002B09B0" w:rsidRPr="00C454DD" w:rsidRDefault="002B09B0" w:rsidP="00C454DD">
      <w:pPr>
        <w:ind w:left="426"/>
        <w:jc w:val="both"/>
        <w:rPr>
          <w:i/>
          <w:color w:val="000000"/>
          <w:kern w:val="24"/>
          <w:sz w:val="20"/>
          <w:szCs w:val="20"/>
        </w:rPr>
      </w:pPr>
      <w:r w:rsidRPr="00C454DD">
        <w:rPr>
          <w:i/>
          <w:color w:val="000000"/>
          <w:kern w:val="24"/>
          <w:sz w:val="20"/>
          <w:szCs w:val="20"/>
        </w:rPr>
        <w:t>Saint-Malo bénéficie donc d’une forte attractivité, d’atouts sur le plan touristique et doit chercher à renforcer sa position. »</w:t>
      </w:r>
    </w:p>
    <w:p w:rsidR="002B09B0" w:rsidRDefault="002B09B0" w:rsidP="00C454DD">
      <w:pPr>
        <w:ind w:left="426"/>
        <w:jc w:val="both"/>
        <w:rPr>
          <w:color w:val="000000"/>
          <w:kern w:val="24"/>
        </w:rPr>
      </w:pPr>
      <w:r>
        <w:rPr>
          <w:color w:val="000000"/>
          <w:kern w:val="24"/>
        </w:rPr>
        <w:t>Cette présentation de Saint-Malo en termes strictement commerciaux exonère les porteurs de projet de pousser plus loin l’analyse de l’attractivité de Saint-Malo. Les fondamentaux solides et l’environnement exceptionnel cités par le dossier ne sont pas expliqués autrement que par l’aubaine qu’ils constituent</w:t>
      </w:r>
      <w:r w:rsidRPr="00FD1B08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Les « entrepreneurs » de ce dossier sont comme les photographes amateurs qui se tournent vers le large, pour magnifier l’horizon marin, et vers la vieille ville, pour capter l’horizon des remparts anciens.</w:t>
      </w:r>
      <w:r w:rsidRPr="00FD1B08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Or cette vision n’est que la partie immédiate de Saint-Malo, prête à servir, à consommer.</w:t>
      </w:r>
    </w:p>
    <w:p w:rsidR="002B09B0" w:rsidRPr="000A6066" w:rsidRDefault="00767E76" w:rsidP="000A6066">
      <w:pPr>
        <w:ind w:left="426"/>
        <w:rPr>
          <w:b/>
          <w:u w:val="single"/>
        </w:rPr>
      </w:pPr>
      <w:r>
        <w:rPr>
          <w:b/>
          <w:u w:val="single"/>
        </w:rPr>
        <w:t>En réalité</w:t>
      </w:r>
    </w:p>
    <w:p w:rsidR="002B09B0" w:rsidRDefault="002B09B0" w:rsidP="00C454DD">
      <w:pPr>
        <w:ind w:left="426"/>
        <w:jc w:val="both"/>
        <w:rPr>
          <w:color w:val="000000"/>
          <w:kern w:val="24"/>
        </w:rPr>
      </w:pPr>
      <w:r>
        <w:rPr>
          <w:color w:val="000000"/>
          <w:kern w:val="24"/>
        </w:rPr>
        <w:t>Saint-Malo est une ville d’horizons. Construite en grande partie sur des espace</w:t>
      </w:r>
      <w:r w:rsidR="007D663A">
        <w:rPr>
          <w:color w:val="000000"/>
          <w:kern w:val="24"/>
        </w:rPr>
        <w:t xml:space="preserve">s jadis occupés par la mer, les </w:t>
      </w:r>
      <w:r>
        <w:rPr>
          <w:color w:val="000000"/>
          <w:kern w:val="24"/>
        </w:rPr>
        <w:t>ancien</w:t>
      </w:r>
      <w:r w:rsidR="007D663A">
        <w:rPr>
          <w:color w:val="000000"/>
          <w:kern w:val="24"/>
        </w:rPr>
        <w:t xml:space="preserve">s </w:t>
      </w:r>
      <w:r w:rsidR="00F55402">
        <w:rPr>
          <w:color w:val="000000"/>
          <w:kern w:val="24"/>
        </w:rPr>
        <w:t>rivages</w:t>
      </w:r>
      <w:r>
        <w:rPr>
          <w:color w:val="000000"/>
          <w:kern w:val="24"/>
        </w:rPr>
        <w:t xml:space="preserve"> sont encore inscrits dans sa géographie et son </w:t>
      </w:r>
      <w:r w:rsidR="001D1F3B">
        <w:rPr>
          <w:color w:val="000000"/>
          <w:kern w:val="24"/>
        </w:rPr>
        <w:t>tissu urbain. La Montagne Saint-</w:t>
      </w:r>
      <w:r>
        <w:rPr>
          <w:color w:val="000000"/>
          <w:kern w:val="24"/>
        </w:rPr>
        <w:t>Joseph, Saint-Servan, La Tréhérais, la c</w:t>
      </w:r>
      <w:r w:rsidR="000717EC">
        <w:rPr>
          <w:color w:val="000000"/>
          <w:kern w:val="24"/>
        </w:rPr>
        <w:t>ô</w:t>
      </w:r>
      <w:r>
        <w:rPr>
          <w:color w:val="000000"/>
          <w:kern w:val="24"/>
        </w:rPr>
        <w:t>te des Masses, le haut de la Mar</w:t>
      </w:r>
      <w:r w:rsidR="001D1F3B">
        <w:rPr>
          <w:color w:val="000000"/>
          <w:kern w:val="24"/>
        </w:rPr>
        <w:t>ne…</w:t>
      </w:r>
      <w:r>
        <w:rPr>
          <w:color w:val="000000"/>
          <w:kern w:val="24"/>
        </w:rPr>
        <w:t xml:space="preserve"> </w:t>
      </w:r>
      <w:r w:rsidR="00B32FC1">
        <w:rPr>
          <w:color w:val="000000"/>
          <w:kern w:val="24"/>
        </w:rPr>
        <w:t xml:space="preserve">autrefois points de vue sur la mer, </w:t>
      </w:r>
      <w:r>
        <w:rPr>
          <w:color w:val="000000"/>
          <w:kern w:val="24"/>
        </w:rPr>
        <w:t>ouvrent sur la ville d’aujourd’hui et en dresse</w:t>
      </w:r>
      <w:r w:rsidR="006450F2">
        <w:rPr>
          <w:color w:val="000000"/>
          <w:kern w:val="24"/>
        </w:rPr>
        <w:t>nt</w:t>
      </w:r>
      <w:r>
        <w:rPr>
          <w:color w:val="000000"/>
          <w:kern w:val="24"/>
        </w:rPr>
        <w:t xml:space="preserve"> les limites. Ils constituent des reliefs, des perspectives et des horizons dont les malouins sont imprégnés et qui f</w:t>
      </w:r>
      <w:r w:rsidR="001D1F3B">
        <w:rPr>
          <w:color w:val="000000"/>
          <w:kern w:val="24"/>
        </w:rPr>
        <w:t>açonnent leur boussole urbaine.</w:t>
      </w:r>
    </w:p>
    <w:p w:rsidR="00772649" w:rsidRDefault="002B09B0" w:rsidP="00C454DD">
      <w:pPr>
        <w:ind w:left="426"/>
        <w:jc w:val="both"/>
        <w:rPr>
          <w:color w:val="000000"/>
          <w:kern w:val="24"/>
        </w:rPr>
      </w:pPr>
      <w:r>
        <w:rPr>
          <w:color w:val="000000"/>
          <w:kern w:val="24"/>
        </w:rPr>
        <w:t>Ce qui est vrai pour les malouins l’est également pour les touristes</w:t>
      </w:r>
      <w:r w:rsidR="000717EC">
        <w:rPr>
          <w:color w:val="000000"/>
          <w:kern w:val="24"/>
        </w:rPr>
        <w:t>.</w:t>
      </w:r>
      <w:r>
        <w:rPr>
          <w:color w:val="000000"/>
          <w:kern w:val="24"/>
        </w:rPr>
        <w:t xml:space="preserve"> Saint-Malo tire son attractivité de sa taille humaine. </w:t>
      </w:r>
      <w:r w:rsidR="007634B7">
        <w:rPr>
          <w:color w:val="000000"/>
          <w:kern w:val="24"/>
        </w:rPr>
        <w:t>Ce ressenti apaisant est parfaitement matérialisé à partir des promenades au nord de la cité d’Alet</w:t>
      </w:r>
      <w:r w:rsidR="00772649">
        <w:rPr>
          <w:color w:val="000000"/>
          <w:kern w:val="24"/>
        </w:rPr>
        <w:t xml:space="preserve"> ou</w:t>
      </w:r>
      <w:r w:rsidR="007634B7">
        <w:rPr>
          <w:color w:val="000000"/>
          <w:kern w:val="24"/>
        </w:rPr>
        <w:t xml:space="preserve"> de la pointe de la Varde et recherché par les r</w:t>
      </w:r>
      <w:r w:rsidR="00865B24">
        <w:rPr>
          <w:color w:val="000000"/>
          <w:kern w:val="24"/>
        </w:rPr>
        <w:t>ésident</w:t>
      </w:r>
      <w:r w:rsidR="007634B7">
        <w:rPr>
          <w:color w:val="000000"/>
          <w:kern w:val="24"/>
        </w:rPr>
        <w:t>s</w:t>
      </w:r>
      <w:r w:rsidR="00865B24">
        <w:rPr>
          <w:color w:val="000000"/>
          <w:kern w:val="24"/>
        </w:rPr>
        <w:t xml:space="preserve"> temporaires ou permanents</w:t>
      </w:r>
      <w:r w:rsidR="000717EC">
        <w:rPr>
          <w:color w:val="000000"/>
          <w:kern w:val="24"/>
        </w:rPr>
        <w:t>.</w:t>
      </w:r>
      <w:r w:rsidR="00865B24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Si la ville a encore cette richesse</w:t>
      </w:r>
      <w:r w:rsidR="000717EC">
        <w:rPr>
          <w:color w:val="000000"/>
          <w:kern w:val="24"/>
        </w:rPr>
        <w:t xml:space="preserve">, </w:t>
      </w:r>
      <w:r>
        <w:rPr>
          <w:color w:val="000000"/>
          <w:kern w:val="24"/>
        </w:rPr>
        <w:t>malgré la médiocrité de beaucoup de constructions,</w:t>
      </w:r>
      <w:r w:rsidR="0056367D">
        <w:rPr>
          <w:color w:val="000000"/>
          <w:kern w:val="24"/>
        </w:rPr>
        <w:t xml:space="preserve"> c’est grâce à leurs gabarits, </w:t>
      </w:r>
      <w:r>
        <w:rPr>
          <w:color w:val="000000"/>
          <w:kern w:val="24"/>
        </w:rPr>
        <w:t xml:space="preserve">aux espaces libres </w:t>
      </w:r>
      <w:r w:rsidR="000717EC">
        <w:rPr>
          <w:color w:val="000000"/>
          <w:kern w:val="24"/>
        </w:rPr>
        <w:t xml:space="preserve">et aux vues </w:t>
      </w:r>
      <w:r w:rsidR="00772649">
        <w:rPr>
          <w:color w:val="000000"/>
          <w:kern w:val="24"/>
        </w:rPr>
        <w:t xml:space="preserve">vers la ville ou vers le large </w:t>
      </w:r>
      <w:r>
        <w:rPr>
          <w:color w:val="000000"/>
          <w:kern w:val="24"/>
        </w:rPr>
        <w:t xml:space="preserve">qui la ponctuent. </w:t>
      </w:r>
    </w:p>
    <w:p w:rsidR="002B09B0" w:rsidRDefault="002B09B0" w:rsidP="00C454DD">
      <w:pPr>
        <w:ind w:left="426"/>
        <w:jc w:val="both"/>
        <w:rPr>
          <w:color w:val="000000"/>
          <w:kern w:val="24"/>
        </w:rPr>
      </w:pPr>
      <w:r>
        <w:rPr>
          <w:color w:val="000000"/>
          <w:kern w:val="24"/>
        </w:rPr>
        <w:t>La proposition du projet des Nielles, comme de beaucoup d’autres, est d</w:t>
      </w:r>
      <w:r w:rsidR="000717EC">
        <w:rPr>
          <w:color w:val="000000"/>
          <w:kern w:val="24"/>
        </w:rPr>
        <w:t>’occuper</w:t>
      </w:r>
      <w:r w:rsidR="00772649">
        <w:rPr>
          <w:color w:val="000000"/>
          <w:kern w:val="24"/>
        </w:rPr>
        <w:t xml:space="preserve"> tout </w:t>
      </w:r>
      <w:r w:rsidR="000717EC">
        <w:rPr>
          <w:color w:val="000000"/>
          <w:kern w:val="24"/>
        </w:rPr>
        <w:t>espace</w:t>
      </w:r>
      <w:r w:rsidR="00772649">
        <w:rPr>
          <w:color w:val="000000"/>
          <w:kern w:val="24"/>
        </w:rPr>
        <w:t xml:space="preserve"> disponible</w:t>
      </w:r>
      <w:r w:rsidR="000717EC">
        <w:rPr>
          <w:color w:val="000000"/>
          <w:kern w:val="24"/>
        </w:rPr>
        <w:t>, d</w:t>
      </w:r>
      <w:r>
        <w:rPr>
          <w:color w:val="000000"/>
          <w:kern w:val="24"/>
        </w:rPr>
        <w:t xml:space="preserve">e fermer </w:t>
      </w:r>
      <w:r w:rsidR="00772649">
        <w:rPr>
          <w:color w:val="000000"/>
          <w:kern w:val="24"/>
        </w:rPr>
        <w:t>c</w:t>
      </w:r>
      <w:r w:rsidR="000717EC">
        <w:rPr>
          <w:color w:val="000000"/>
          <w:kern w:val="24"/>
        </w:rPr>
        <w:t xml:space="preserve">es vues </w:t>
      </w:r>
      <w:r w:rsidR="00884392">
        <w:rPr>
          <w:color w:val="000000"/>
          <w:kern w:val="24"/>
        </w:rPr>
        <w:t>et de sur-densifier par des constructions de grand gabarit</w:t>
      </w:r>
      <w:r>
        <w:rPr>
          <w:color w:val="000000"/>
          <w:kern w:val="24"/>
        </w:rPr>
        <w:t>.</w:t>
      </w:r>
    </w:p>
    <w:p w:rsidR="002B09B0" w:rsidRPr="00AF06E2" w:rsidRDefault="002B09B0" w:rsidP="00C454DD">
      <w:pPr>
        <w:ind w:left="426"/>
        <w:jc w:val="both"/>
        <w:rPr>
          <w:b/>
          <w:color w:val="000000"/>
          <w:kern w:val="24"/>
        </w:rPr>
      </w:pPr>
      <w:r w:rsidRPr="00AF06E2">
        <w:rPr>
          <w:b/>
          <w:color w:val="000000"/>
          <w:kern w:val="24"/>
        </w:rPr>
        <w:t>La ville est manifestement un objet hors de la compr</w:t>
      </w:r>
      <w:r w:rsidR="006450F2">
        <w:rPr>
          <w:b/>
          <w:color w:val="000000"/>
          <w:kern w:val="24"/>
        </w:rPr>
        <w:t xml:space="preserve">éhension des porteurs du projet, objectifs financiers en tête, </w:t>
      </w:r>
      <w:r w:rsidRPr="00AF06E2">
        <w:rPr>
          <w:b/>
          <w:color w:val="000000"/>
          <w:kern w:val="24"/>
        </w:rPr>
        <w:t>ils s’apprêtent à en affaiblir encore un peu plus les fondamentaux</w:t>
      </w:r>
      <w:r>
        <w:rPr>
          <w:b/>
          <w:color w:val="000000"/>
          <w:kern w:val="24"/>
        </w:rPr>
        <w:t xml:space="preserve"> au détriment de l’intérêt général</w:t>
      </w:r>
      <w:r w:rsidR="0045704D">
        <w:rPr>
          <w:b/>
          <w:color w:val="000000"/>
          <w:kern w:val="24"/>
        </w:rPr>
        <w:t>.</w:t>
      </w:r>
    </w:p>
    <w:p w:rsidR="002B09B0" w:rsidRPr="000A6066" w:rsidRDefault="00767E76" w:rsidP="000A6066">
      <w:pPr>
        <w:pStyle w:val="Titre1"/>
        <w:ind w:left="142"/>
      </w:pPr>
      <w:r>
        <w:t>Au titre des caractéristiques</w:t>
      </w:r>
    </w:p>
    <w:p w:rsidR="002B09B0" w:rsidRDefault="002B09B0" w:rsidP="00C454DD">
      <w:pPr>
        <w:ind w:left="426"/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La présentation omet également de citer parmi « les fondamentaux solides », la facilité d’accès aux plages sans discrimination et quels que soient les revenus des individus. </w:t>
      </w:r>
    </w:p>
    <w:p w:rsidR="002B09B0" w:rsidRPr="006450F2" w:rsidRDefault="002B09B0" w:rsidP="00C454DD">
      <w:pPr>
        <w:ind w:left="426"/>
        <w:jc w:val="both"/>
        <w:rPr>
          <w:kern w:val="24"/>
        </w:rPr>
      </w:pPr>
      <w:r>
        <w:rPr>
          <w:color w:val="000000"/>
          <w:kern w:val="24"/>
        </w:rPr>
        <w:t xml:space="preserve">Le projet va à l’encontre de ce principe, en réservant l’espace public du camping aux activités de </w:t>
      </w:r>
      <w:r w:rsidRPr="006450F2">
        <w:rPr>
          <w:kern w:val="24"/>
        </w:rPr>
        <w:t>résidents temporaires fortunés.</w:t>
      </w:r>
    </w:p>
    <w:p w:rsidR="006B29EF" w:rsidRDefault="002B09B0" w:rsidP="00C454DD">
      <w:pPr>
        <w:ind w:left="426"/>
        <w:jc w:val="both"/>
        <w:rPr>
          <w:kern w:val="24"/>
        </w:rPr>
      </w:pPr>
      <w:r w:rsidRPr="006B29EF">
        <w:rPr>
          <w:kern w:val="24"/>
        </w:rPr>
        <w:t xml:space="preserve">Sur le plan de l’attractivité touristique, le camping que l’on </w:t>
      </w:r>
      <w:r w:rsidR="006450F2" w:rsidRPr="006B29EF">
        <w:rPr>
          <w:kern w:val="24"/>
        </w:rPr>
        <w:t>prétenda</w:t>
      </w:r>
      <w:r w:rsidRPr="006B29EF">
        <w:rPr>
          <w:kern w:val="24"/>
        </w:rPr>
        <w:t xml:space="preserve">it en difficulté </w:t>
      </w:r>
      <w:r w:rsidR="006450F2" w:rsidRPr="006B29EF">
        <w:rPr>
          <w:kern w:val="24"/>
        </w:rPr>
        <w:t>est en réalité en pleine reconquête</w:t>
      </w:r>
      <w:r w:rsidRPr="006B29EF">
        <w:rPr>
          <w:kern w:val="24"/>
        </w:rPr>
        <w:t xml:space="preserve">. En Bretagne le tableau de l’INSEE </w:t>
      </w:r>
      <w:r w:rsidR="006B29EF" w:rsidRPr="006B29EF">
        <w:rPr>
          <w:kern w:val="24"/>
        </w:rPr>
        <w:t>(</w:t>
      </w:r>
      <w:r w:rsidRPr="006B29EF">
        <w:rPr>
          <w:kern w:val="24"/>
        </w:rPr>
        <w:t>ci-après</w:t>
      </w:r>
      <w:r w:rsidR="006B29EF" w:rsidRPr="006B29EF">
        <w:rPr>
          <w:kern w:val="24"/>
        </w:rPr>
        <w:t>)</w:t>
      </w:r>
      <w:r w:rsidRPr="006B29EF">
        <w:rPr>
          <w:kern w:val="24"/>
        </w:rPr>
        <w:t xml:space="preserve"> fait état d’un net regain en 2017. </w:t>
      </w:r>
    </w:p>
    <w:p w:rsidR="002B09B0" w:rsidRPr="006B29EF" w:rsidRDefault="00D72014" w:rsidP="00C454DD">
      <w:pPr>
        <w:ind w:left="426"/>
        <w:jc w:val="both"/>
        <w:rPr>
          <w:kern w:val="24"/>
        </w:rPr>
      </w:pPr>
      <w:r>
        <w:rPr>
          <w:kern w:val="24"/>
        </w:rPr>
        <w:t>À</w:t>
      </w:r>
      <w:r w:rsidR="006450F2" w:rsidRPr="006B29EF">
        <w:rPr>
          <w:kern w:val="24"/>
        </w:rPr>
        <w:t xml:space="preserve"> Saint-Malo</w:t>
      </w:r>
      <w:r w:rsidR="006B29EF">
        <w:rPr>
          <w:kern w:val="24"/>
        </w:rPr>
        <w:t>,</w:t>
      </w:r>
      <w:r w:rsidR="006450F2" w:rsidRPr="006B29EF">
        <w:rPr>
          <w:kern w:val="24"/>
        </w:rPr>
        <w:t xml:space="preserve"> la fermeture de cet espace sur le littoral</w:t>
      </w:r>
      <w:r w:rsidR="006B29EF" w:rsidRPr="006B29EF">
        <w:rPr>
          <w:kern w:val="24"/>
        </w:rPr>
        <w:t>,</w:t>
      </w:r>
      <w:r w:rsidR="006450F2" w:rsidRPr="006B29EF">
        <w:rPr>
          <w:kern w:val="24"/>
        </w:rPr>
        <w:t xml:space="preserve"> convoité de longue date</w:t>
      </w:r>
      <w:r w:rsidR="006B29EF" w:rsidRPr="006B29EF">
        <w:rPr>
          <w:kern w:val="24"/>
        </w:rPr>
        <w:t>,</w:t>
      </w:r>
      <w:r w:rsidR="006450F2" w:rsidRPr="006B29EF">
        <w:rPr>
          <w:kern w:val="24"/>
        </w:rPr>
        <w:t xml:space="preserve"> </w:t>
      </w:r>
      <w:r w:rsidR="006B29EF" w:rsidRPr="006B29EF">
        <w:rPr>
          <w:kern w:val="24"/>
        </w:rPr>
        <w:t>porte atteinte à la</w:t>
      </w:r>
      <w:r w:rsidR="002B09B0" w:rsidRPr="006B29EF">
        <w:rPr>
          <w:kern w:val="24"/>
        </w:rPr>
        <w:t xml:space="preserve"> div</w:t>
      </w:r>
      <w:r w:rsidR="006B29EF" w:rsidRPr="006B29EF">
        <w:rPr>
          <w:kern w:val="24"/>
        </w:rPr>
        <w:t xml:space="preserve">ersité de l’accueil touristique. Cette diversité </w:t>
      </w:r>
      <w:r w:rsidR="002B09B0" w:rsidRPr="006B29EF">
        <w:rPr>
          <w:kern w:val="24"/>
        </w:rPr>
        <w:t xml:space="preserve">s’inscrit </w:t>
      </w:r>
      <w:r w:rsidR="006B29EF" w:rsidRPr="006B29EF">
        <w:rPr>
          <w:kern w:val="24"/>
        </w:rPr>
        <w:t xml:space="preserve">pourtant </w:t>
      </w:r>
      <w:r w:rsidR="002B09B0" w:rsidRPr="006B29EF">
        <w:rPr>
          <w:kern w:val="24"/>
        </w:rPr>
        <w:t xml:space="preserve">dans </w:t>
      </w:r>
      <w:r w:rsidR="002B09B0" w:rsidRPr="006B29EF">
        <w:rPr>
          <w:b/>
          <w:kern w:val="24"/>
          <w:u w:val="single"/>
        </w:rPr>
        <w:t>l’intérêt général</w:t>
      </w:r>
      <w:r w:rsidR="002B09B0" w:rsidRPr="006B29EF">
        <w:rPr>
          <w:kern w:val="24"/>
        </w:rPr>
        <w:t xml:space="preserve"> de la grande masse des français et visiteurs étrangers qui ne disposent pas des ressources pour s’offrir les hôtels de luxe. </w:t>
      </w:r>
    </w:p>
    <w:p w:rsidR="002B09B0" w:rsidRDefault="004D6439" w:rsidP="007C1940">
      <w:pPr>
        <w:jc w:val="center"/>
        <w:rPr>
          <w:color w:val="000000"/>
          <w:kern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880610" cy="2464435"/>
            <wp:effectExtent l="19050" t="19050" r="15240" b="1206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4644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09B0" w:rsidRPr="000A6066" w:rsidRDefault="002B09B0" w:rsidP="000A6066">
      <w:pPr>
        <w:pStyle w:val="Titre1"/>
        <w:ind w:left="142"/>
      </w:pPr>
      <w:r w:rsidRPr="00AF06E2">
        <w:t>Sur les termes utilisés d</w:t>
      </w:r>
      <w:r w:rsidR="00D72014">
        <w:t>ans le dossier de concertation</w:t>
      </w:r>
    </w:p>
    <w:p w:rsidR="002B09B0" w:rsidRDefault="002B09B0" w:rsidP="00C454DD">
      <w:pPr>
        <w:ind w:left="426"/>
        <w:jc w:val="both"/>
        <w:rPr>
          <w:i/>
          <w:color w:val="000000"/>
          <w:kern w:val="24"/>
        </w:rPr>
      </w:pPr>
      <w:r>
        <w:rPr>
          <w:i/>
          <w:color w:val="000000"/>
          <w:kern w:val="24"/>
        </w:rPr>
        <w:t>« </w:t>
      </w:r>
      <w:r w:rsidRPr="007C1940">
        <w:rPr>
          <w:i/>
          <w:color w:val="000000"/>
          <w:kern w:val="24"/>
        </w:rPr>
        <w:t>Saint-Malo doit aussi faire face au dynamisme des dest</w:t>
      </w:r>
      <w:r>
        <w:rPr>
          <w:i/>
          <w:color w:val="000000"/>
          <w:kern w:val="24"/>
        </w:rPr>
        <w:t>i</w:t>
      </w:r>
      <w:r w:rsidRPr="007C1940">
        <w:rPr>
          <w:i/>
          <w:color w:val="000000"/>
          <w:kern w:val="24"/>
        </w:rPr>
        <w:t>nat</w:t>
      </w:r>
      <w:r>
        <w:rPr>
          <w:i/>
          <w:color w:val="000000"/>
          <w:kern w:val="24"/>
        </w:rPr>
        <w:t>i</w:t>
      </w:r>
      <w:r w:rsidRPr="007C1940">
        <w:rPr>
          <w:i/>
          <w:color w:val="000000"/>
          <w:kern w:val="24"/>
        </w:rPr>
        <w:t>ons concurrentes (Normandie, Bretagne Sud, côte Atlant</w:t>
      </w:r>
      <w:r>
        <w:rPr>
          <w:i/>
          <w:color w:val="000000"/>
          <w:kern w:val="24"/>
        </w:rPr>
        <w:t>i</w:t>
      </w:r>
      <w:r w:rsidRPr="007C1940">
        <w:rPr>
          <w:i/>
          <w:color w:val="000000"/>
          <w:kern w:val="24"/>
        </w:rPr>
        <w:t>que principalement) qui se dotent des out</w:t>
      </w:r>
      <w:r>
        <w:rPr>
          <w:i/>
          <w:color w:val="000000"/>
          <w:kern w:val="24"/>
        </w:rPr>
        <w:t>i</w:t>
      </w:r>
      <w:r w:rsidRPr="007C1940">
        <w:rPr>
          <w:i/>
          <w:color w:val="000000"/>
          <w:kern w:val="24"/>
        </w:rPr>
        <w:t>ls perme</w:t>
      </w:r>
      <w:r>
        <w:rPr>
          <w:i/>
          <w:color w:val="000000"/>
          <w:kern w:val="24"/>
        </w:rPr>
        <w:t>t</w:t>
      </w:r>
      <w:r w:rsidR="00F67573">
        <w:rPr>
          <w:i/>
          <w:color w:val="000000"/>
          <w:kern w:val="24"/>
        </w:rPr>
        <w:t>tant d</w:t>
      </w:r>
      <w:r w:rsidRPr="007C1940">
        <w:rPr>
          <w:i/>
          <w:color w:val="000000"/>
          <w:kern w:val="24"/>
        </w:rPr>
        <w:t>’a</w:t>
      </w:r>
      <w:r>
        <w:rPr>
          <w:i/>
          <w:color w:val="000000"/>
          <w:kern w:val="24"/>
        </w:rPr>
        <w:t>t</w:t>
      </w:r>
      <w:r w:rsidRPr="007C1940">
        <w:rPr>
          <w:i/>
          <w:color w:val="000000"/>
          <w:kern w:val="24"/>
        </w:rPr>
        <w:t>t</w:t>
      </w:r>
      <w:r>
        <w:rPr>
          <w:i/>
          <w:color w:val="000000"/>
          <w:kern w:val="24"/>
        </w:rPr>
        <w:t>i</w:t>
      </w:r>
      <w:r w:rsidRPr="007C1940">
        <w:rPr>
          <w:i/>
          <w:color w:val="000000"/>
          <w:kern w:val="24"/>
        </w:rPr>
        <w:t>rer la clientèle santé/bien-être</w:t>
      </w:r>
      <w:r>
        <w:rPr>
          <w:i/>
          <w:color w:val="000000"/>
          <w:kern w:val="24"/>
        </w:rPr>
        <w:t> »</w:t>
      </w:r>
      <w:r w:rsidRPr="007C1940">
        <w:rPr>
          <w:i/>
          <w:color w:val="000000"/>
          <w:kern w:val="24"/>
        </w:rPr>
        <w:t xml:space="preserve"> </w:t>
      </w:r>
    </w:p>
    <w:p w:rsidR="002B09B0" w:rsidRPr="007C1940" w:rsidRDefault="002B09B0" w:rsidP="00C454DD">
      <w:pPr>
        <w:ind w:left="426"/>
        <w:jc w:val="both"/>
      </w:pPr>
      <w:r>
        <w:t>Ces termes e</w:t>
      </w:r>
      <w:r w:rsidRPr="007C1940">
        <w:t>ntretienn</w:t>
      </w:r>
      <w:r>
        <w:t xml:space="preserve">ent la confusion entre l’intérêt particulier, du groupe porteur du projet confronté à la concurrence, et </w:t>
      </w:r>
      <w:r w:rsidRPr="00AF06E2">
        <w:rPr>
          <w:b/>
        </w:rPr>
        <w:t>l’intérêt général de</w:t>
      </w:r>
      <w:r>
        <w:rPr>
          <w:b/>
        </w:rPr>
        <w:t>s malouins.</w:t>
      </w:r>
      <w:r w:rsidRPr="00AF06E2">
        <w:rPr>
          <w:b/>
        </w:rPr>
        <w:t xml:space="preserve"> </w:t>
      </w:r>
      <w:r w:rsidRPr="00C454DD">
        <w:t>Saint-Malo</w:t>
      </w:r>
      <w:r>
        <w:t xml:space="preserve"> ne peut se résumer à la vision ou aux intérêts d’un groupe spécialisé dans l’industrie du tourisme. </w:t>
      </w:r>
    </w:p>
    <w:p w:rsidR="002B09B0" w:rsidRPr="000A6066" w:rsidRDefault="002B09B0" w:rsidP="000A6066">
      <w:pPr>
        <w:pStyle w:val="Titre1"/>
        <w:ind w:left="142"/>
      </w:pPr>
      <w:r w:rsidRPr="000A6066">
        <w:t>Sur l’emploi</w:t>
      </w:r>
    </w:p>
    <w:p w:rsidR="002B09B0" w:rsidRPr="007C1940" w:rsidRDefault="00CA1E05" w:rsidP="000A6066">
      <w:pPr>
        <w:ind w:left="426"/>
        <w:jc w:val="both"/>
      </w:pPr>
      <w:r>
        <w:t>À</w:t>
      </w:r>
      <w:r w:rsidR="002B09B0">
        <w:t xml:space="preserve"> la p</w:t>
      </w:r>
      <w:r w:rsidR="002B09B0" w:rsidRPr="007C1940">
        <w:t>age 2</w:t>
      </w:r>
      <w:r w:rsidR="002B09B0">
        <w:t>5</w:t>
      </w:r>
      <w:r w:rsidR="002B09B0" w:rsidRPr="007C1940">
        <w:t xml:space="preserve"> du dossier de concertation</w:t>
      </w:r>
      <w:r>
        <w:t> :</w:t>
      </w:r>
    </w:p>
    <w:p w:rsidR="002B09B0" w:rsidRPr="006B29EF" w:rsidRDefault="002B09B0" w:rsidP="00C454DD">
      <w:pPr>
        <w:ind w:left="426"/>
        <w:jc w:val="both"/>
      </w:pPr>
      <w:r w:rsidRPr="006B29EF">
        <w:t xml:space="preserve">Le second aspect de l’intérêt général </w:t>
      </w:r>
      <w:r w:rsidR="006B29EF" w:rsidRPr="006B29EF">
        <w:t>supposé</w:t>
      </w:r>
      <w:r w:rsidRPr="006B29EF">
        <w:t xml:space="preserve"> de ce dossier </w:t>
      </w:r>
      <w:r w:rsidR="006B29EF" w:rsidRPr="006B29EF">
        <w:t>serait</w:t>
      </w:r>
      <w:r w:rsidRPr="006B29EF">
        <w:t xml:space="preserve"> la création de 150</w:t>
      </w:r>
      <w:r w:rsidR="00213F40">
        <w:t xml:space="preserve"> emplois</w:t>
      </w:r>
      <w:r w:rsidRPr="006B29EF">
        <w:t xml:space="preserve">, plus 75 emplois indirects. Le dossier ne comporte aucune référence, ni indication </w:t>
      </w:r>
      <w:r w:rsidR="00DC10B2">
        <w:t xml:space="preserve">sur </w:t>
      </w:r>
      <w:r w:rsidRPr="006B29EF">
        <w:t>de</w:t>
      </w:r>
      <w:r w:rsidR="00DC10B2">
        <w:t>s</w:t>
      </w:r>
      <w:r w:rsidRPr="006B29EF">
        <w:t xml:space="preserve"> redéploiements </w:t>
      </w:r>
      <w:r w:rsidR="00DC10B2">
        <w:t xml:space="preserve">saisonniers </w:t>
      </w:r>
      <w:r w:rsidRPr="006B29EF">
        <w:t>provenant de l’ensemble des sites du groupe ou de personnes en formation</w:t>
      </w:r>
      <w:r w:rsidR="00144E61">
        <w:t>,</w:t>
      </w:r>
      <w:r w:rsidRPr="006B29EF">
        <w:t xml:space="preserve"> exécutant des tâches quotidiennes auprès des clients…</w:t>
      </w:r>
    </w:p>
    <w:p w:rsidR="002B09B0" w:rsidRPr="0010567C" w:rsidRDefault="002B09B0" w:rsidP="00C454DD">
      <w:pPr>
        <w:ind w:left="426"/>
        <w:jc w:val="both"/>
      </w:pPr>
      <w:r w:rsidRPr="0010567C">
        <w:t>Cet aspect</w:t>
      </w:r>
      <w:r>
        <w:t>,</w:t>
      </w:r>
      <w:r w:rsidRPr="0010567C">
        <w:t xml:space="preserve"> aujourd’hui non démontré et sans </w:t>
      </w:r>
      <w:r w:rsidRPr="006B29EF">
        <w:t>engagement précis, ne</w:t>
      </w:r>
      <w:r w:rsidRPr="0010567C">
        <w:t xml:space="preserve"> peut être pris en compte en l’état et participer à l’évaluation de l’intérêt général.</w:t>
      </w:r>
    </w:p>
    <w:p w:rsidR="002B09B0" w:rsidRDefault="002B09B0" w:rsidP="000A6066">
      <w:pPr>
        <w:pStyle w:val="Titre1"/>
        <w:ind w:left="142"/>
      </w:pPr>
      <w:r w:rsidRPr="0010567C">
        <w:t>L’intérêt général et l</w:t>
      </w:r>
      <w:r w:rsidR="00371938">
        <w:t>a bande littorale</w:t>
      </w:r>
    </w:p>
    <w:p w:rsidR="00DC10B2" w:rsidRDefault="002B09B0" w:rsidP="00C454DD">
      <w:pPr>
        <w:ind w:left="426"/>
        <w:jc w:val="both"/>
      </w:pPr>
      <w:r>
        <w:t>La bande littorale</w:t>
      </w:r>
      <w:r w:rsidR="0015441F">
        <w:t>,</w:t>
      </w:r>
      <w:r>
        <w:t xml:space="preserve"> dans sa partie urbaine</w:t>
      </w:r>
      <w:r w:rsidR="0015441F">
        <w:t>,</w:t>
      </w:r>
      <w:r>
        <w:t xml:space="preserve"> est une succession de résidences et de commerces (hôtellerie et restauration). Beaucoup de </w:t>
      </w:r>
      <w:r w:rsidR="0041012B">
        <w:t>ces derniers ont réinvesti</w:t>
      </w:r>
      <w:r w:rsidRPr="00DC10B2">
        <w:t xml:space="preserve"> des résidences</w:t>
      </w:r>
      <w:r w:rsidR="0015441F">
        <w:t>,</w:t>
      </w:r>
      <w:r w:rsidRPr="00DC10B2">
        <w:t xml:space="preserve"> limitant en partie les stigmates des constructions touristiques </w:t>
      </w:r>
      <w:r w:rsidR="00DE2B52">
        <w:t xml:space="preserve">dites </w:t>
      </w:r>
      <w:r w:rsidR="00DC10B2">
        <w:t>«</w:t>
      </w:r>
      <w:r w:rsidR="00DE2B52">
        <w:t xml:space="preserve"> </w:t>
      </w:r>
      <w:r w:rsidRPr="00DC10B2">
        <w:t>modernes</w:t>
      </w:r>
      <w:r w:rsidR="00DE2B52">
        <w:t xml:space="preserve"> </w:t>
      </w:r>
      <w:r w:rsidR="00DC10B2">
        <w:t>»</w:t>
      </w:r>
      <w:r w:rsidR="00DE2B52">
        <w:t xml:space="preserve"> </w:t>
      </w:r>
      <w:r w:rsidR="00DC10B2">
        <w:t>en</w:t>
      </w:r>
      <w:r w:rsidRPr="00DC10B2">
        <w:t xml:space="preserve"> front de mer. Mais l’équilibre </w:t>
      </w:r>
      <w:r w:rsidR="00DC10B2">
        <w:t xml:space="preserve">du bâti </w:t>
      </w:r>
      <w:r w:rsidRPr="00DC10B2">
        <w:t xml:space="preserve">est aussi fragile </w:t>
      </w:r>
      <w:r w:rsidR="00DC10B2">
        <w:t>que celui de l’</w:t>
      </w:r>
      <w:r w:rsidRPr="00DC10B2">
        <w:t>usage.</w:t>
      </w:r>
    </w:p>
    <w:p w:rsidR="002B09B0" w:rsidRPr="00DC10B2" w:rsidRDefault="00DC10B2" w:rsidP="00C454DD">
      <w:pPr>
        <w:ind w:left="426"/>
        <w:jc w:val="both"/>
      </w:pPr>
      <w:r>
        <w:t>T</w:t>
      </w:r>
      <w:r w:rsidR="002B09B0" w:rsidRPr="00DC10B2">
        <w:t>out au long des 3.8 km de littoral</w:t>
      </w:r>
      <w:r w:rsidR="00DE2B52">
        <w:t>,</w:t>
      </w:r>
      <w:r w:rsidR="002B09B0" w:rsidRPr="00DC10B2">
        <w:t xml:space="preserve"> allant du Palais du Grand Large vers la pointe de la Varde, le groupe Raulic est propriétaire, gestionnaire, ou locataire d’au moins sept établissements. Dans ces conditions, </w:t>
      </w:r>
      <w:r w:rsidR="00865B24">
        <w:t>nous pensons</w:t>
      </w:r>
      <w:r w:rsidR="002B09B0" w:rsidRPr="00DC10B2">
        <w:t xml:space="preserve"> que :</w:t>
      </w:r>
    </w:p>
    <w:p w:rsidR="002B09B0" w:rsidRDefault="002B09B0" w:rsidP="00D543D3">
      <w:pPr>
        <w:pStyle w:val="Paragraphedeliste"/>
        <w:numPr>
          <w:ilvl w:val="0"/>
          <w:numId w:val="1"/>
        </w:numPr>
        <w:ind w:left="1418"/>
        <w:jc w:val="both"/>
      </w:pPr>
      <w:r>
        <w:t xml:space="preserve">Diminuer la mixité d’usage de la bande littorale va à l’encontre des caractéristiques qui font de Saint-Malo une destination touristique tournée vers la diversité d’accueil. </w:t>
      </w:r>
    </w:p>
    <w:p w:rsidR="007062C2" w:rsidRDefault="007062C2" w:rsidP="007062C2">
      <w:pPr>
        <w:pStyle w:val="Paragraphedeliste"/>
        <w:ind w:left="1418"/>
        <w:jc w:val="both"/>
      </w:pPr>
    </w:p>
    <w:p w:rsidR="002B09B0" w:rsidRDefault="002B09B0" w:rsidP="00D543D3">
      <w:pPr>
        <w:pStyle w:val="Paragraphedeliste"/>
        <w:numPr>
          <w:ilvl w:val="0"/>
          <w:numId w:val="1"/>
        </w:numPr>
        <w:ind w:left="1418"/>
        <w:jc w:val="both"/>
      </w:pPr>
      <w:r>
        <w:t>L</w:t>
      </w:r>
      <w:r w:rsidRPr="0010567C">
        <w:t>ivrer une partie</w:t>
      </w:r>
      <w:r>
        <w:t xml:space="preserve"> publique </w:t>
      </w:r>
      <w:r w:rsidRPr="0010567C">
        <w:t>de la bande littorale à un groupe</w:t>
      </w:r>
      <w:r>
        <w:t xml:space="preserve"> privé qui dispose de nombreux sites </w:t>
      </w:r>
      <w:r w:rsidR="00865B24">
        <w:t>au même endroit et</w:t>
      </w:r>
      <w:r>
        <w:t xml:space="preserve"> destinés à l’accueil de populations touristiques de même type est contraire à la mixité sociale nécessaire</w:t>
      </w:r>
      <w:r w:rsidR="00DE2B52">
        <w:t>,</w:t>
      </w:r>
      <w:r>
        <w:t xml:space="preserve"> y compris dans l’accueil touristique.</w:t>
      </w:r>
    </w:p>
    <w:p w:rsidR="007062C2" w:rsidRDefault="007062C2" w:rsidP="007062C2">
      <w:pPr>
        <w:pStyle w:val="Paragraphedeliste"/>
        <w:ind w:left="1418"/>
        <w:jc w:val="both"/>
      </w:pPr>
    </w:p>
    <w:p w:rsidR="002B09B0" w:rsidRPr="0010567C" w:rsidRDefault="002B09B0" w:rsidP="00D543D3">
      <w:pPr>
        <w:pStyle w:val="Paragraphedeliste"/>
        <w:numPr>
          <w:ilvl w:val="0"/>
          <w:numId w:val="1"/>
        </w:numPr>
        <w:ind w:left="1418"/>
        <w:jc w:val="both"/>
      </w:pPr>
      <w:r>
        <w:t xml:space="preserve">L’intérêt général ne consiste pas à renforcer </w:t>
      </w:r>
      <w:r w:rsidRPr="00DC10B2">
        <w:t>l’implantation d’un</w:t>
      </w:r>
      <w:r w:rsidR="00DE2B52">
        <w:t xml:space="preserve"> groupe privé</w:t>
      </w:r>
      <w:r w:rsidR="00B61FEC">
        <w:t>,</w:t>
      </w:r>
      <w:r w:rsidR="00DE2B52">
        <w:t xml:space="preserve"> </w:t>
      </w:r>
      <w:r>
        <w:t xml:space="preserve">aussi bien établi sur la bande littorale, en lui vendant le domaine public des Nielles. Ce quasi-monopole d’un groupe </w:t>
      </w:r>
      <w:r w:rsidR="00DC10B2">
        <w:t xml:space="preserve">au seul </w:t>
      </w:r>
      <w:r>
        <w:lastRenderedPageBreak/>
        <w:t xml:space="preserve">service d’une population </w:t>
      </w:r>
      <w:r w:rsidR="00DC10B2">
        <w:t xml:space="preserve">pourvue de </w:t>
      </w:r>
      <w:r>
        <w:t xml:space="preserve">moyens financiers </w:t>
      </w:r>
      <w:r w:rsidR="002A6C05">
        <w:t xml:space="preserve">confortables </w:t>
      </w:r>
      <w:r>
        <w:t xml:space="preserve">est exorbitant de droit commun et contraire à </w:t>
      </w:r>
      <w:r w:rsidRPr="00283D6D">
        <w:t>l’</w:t>
      </w:r>
      <w:r w:rsidRPr="00BF6940">
        <w:rPr>
          <w:u w:val="single"/>
        </w:rPr>
        <w:t>intérêt général</w:t>
      </w:r>
      <w:r>
        <w:t>.</w:t>
      </w:r>
    </w:p>
    <w:p w:rsidR="002B09B0" w:rsidRPr="001A3A2B" w:rsidRDefault="00EF6585" w:rsidP="000A6066">
      <w:pPr>
        <w:pStyle w:val="Titre1"/>
        <w:ind w:left="142"/>
        <w:rPr>
          <w:color w:val="auto"/>
        </w:rPr>
      </w:pPr>
      <w:r>
        <w:rPr>
          <w:color w:val="auto"/>
        </w:rPr>
        <w:t>La l</w:t>
      </w:r>
      <w:r w:rsidR="001A3A2B">
        <w:rPr>
          <w:color w:val="auto"/>
        </w:rPr>
        <w:t xml:space="preserve">oi </w:t>
      </w:r>
      <w:r w:rsidR="002B09B0" w:rsidRPr="001A3A2B">
        <w:rPr>
          <w:color w:val="auto"/>
        </w:rPr>
        <w:t>littoral</w:t>
      </w:r>
      <w:r w:rsidR="009C70CE">
        <w:rPr>
          <w:color w:val="auto"/>
        </w:rPr>
        <w:t>e</w:t>
      </w:r>
    </w:p>
    <w:p w:rsidR="002B09B0" w:rsidRDefault="00EF6585" w:rsidP="00C454DD">
      <w:pPr>
        <w:ind w:left="426"/>
        <w:jc w:val="both"/>
      </w:pPr>
      <w:r>
        <w:t>La l</w:t>
      </w:r>
      <w:r w:rsidR="002B09B0">
        <w:t>oi littoral</w:t>
      </w:r>
      <w:r w:rsidR="009C70CE">
        <w:t>e</w:t>
      </w:r>
      <w:r w:rsidR="002B09B0">
        <w:t xml:space="preserve"> a introduit dans le code de l’urbanisme plusieurs dispositions.</w:t>
      </w:r>
    </w:p>
    <w:p w:rsidR="002B09B0" w:rsidRPr="00970715" w:rsidRDefault="002B09B0" w:rsidP="00C454DD">
      <w:pPr>
        <w:pStyle w:val="Paragraphedeliste"/>
        <w:numPr>
          <w:ilvl w:val="0"/>
          <w:numId w:val="5"/>
        </w:numPr>
        <w:ind w:left="993"/>
        <w:jc w:val="both"/>
      </w:pPr>
      <w:r w:rsidRPr="00D543D3">
        <w:rPr>
          <w:u w:val="single"/>
        </w:rPr>
        <w:t>L’article L</w:t>
      </w:r>
      <w:r w:rsidR="00D543D3">
        <w:rPr>
          <w:u w:val="single"/>
        </w:rPr>
        <w:t xml:space="preserve"> </w:t>
      </w:r>
      <w:r w:rsidRPr="00D543D3">
        <w:rPr>
          <w:u w:val="single"/>
        </w:rPr>
        <w:t>121-22</w:t>
      </w:r>
      <w:r w:rsidRPr="00970715">
        <w:t xml:space="preserve"> du code de l’urbanisme indique que </w:t>
      </w:r>
      <w:r w:rsidR="00BF6940">
        <w:t>« </w:t>
      </w:r>
      <w:r w:rsidRPr="00BF6940">
        <w:rPr>
          <w:i/>
        </w:rPr>
        <w:t>les schémas de cohérence territoriale et les plans locaux d'urbanisme doivent prévoir des espaces naturels présentant le caractère d'une coupure d'urbanisation.</w:t>
      </w:r>
      <w:r w:rsidR="00BF6940" w:rsidRPr="00BF6940">
        <w:rPr>
          <w:i/>
        </w:rPr>
        <w:t> </w:t>
      </w:r>
      <w:r w:rsidR="00BF6940">
        <w:t>»</w:t>
      </w:r>
    </w:p>
    <w:p w:rsidR="002B09B0" w:rsidRDefault="002B09B0" w:rsidP="00D543D3">
      <w:pPr>
        <w:ind w:left="993"/>
        <w:jc w:val="both"/>
      </w:pPr>
      <w:r>
        <w:t>Le dossier de concertation montre qu’à l’endroit prévu</w:t>
      </w:r>
      <w:r w:rsidR="00D26783">
        <w:t>,</w:t>
      </w:r>
      <w:r>
        <w:t xml:space="preserve"> l’espace libre de construction</w:t>
      </w:r>
      <w:r w:rsidR="00131424">
        <w:t>,</w:t>
      </w:r>
      <w:r>
        <w:t xml:space="preserve"> surplombant les rochers</w:t>
      </w:r>
      <w:r w:rsidR="00D543D3">
        <w:t>,</w:t>
      </w:r>
      <w:r>
        <w:t xml:space="preserve"> constitue une coupure de l’urbanisation à l’échelle du quartier. </w:t>
      </w:r>
      <w:r w:rsidR="00D543D3">
        <w:t>Située entre l’urbanisation dense de la ville et la zone Natura 2000 qui débute à la Varde, e</w:t>
      </w:r>
      <w:r>
        <w:t xml:space="preserve">lle </w:t>
      </w:r>
      <w:r w:rsidR="00D543D3" w:rsidRPr="00D543D3">
        <w:t>représente</w:t>
      </w:r>
      <w:r>
        <w:t xml:space="preserve"> une respiration </w:t>
      </w:r>
      <w:r w:rsidR="00D543D3">
        <w:t xml:space="preserve">visible </w:t>
      </w:r>
      <w:r>
        <w:t xml:space="preserve">dans </w:t>
      </w:r>
      <w:r w:rsidR="00BF6940">
        <w:t>le tissu bâti</w:t>
      </w:r>
      <w:r>
        <w:t xml:space="preserve"> hétérog</w:t>
      </w:r>
      <w:r w:rsidR="00D543D3">
        <w:t>ène de cette partie du littoral</w:t>
      </w:r>
      <w:r>
        <w:t>.</w:t>
      </w:r>
      <w:r w:rsidR="00865B24">
        <w:t xml:space="preserve"> Cette visibilité est accentuée par la masse rocheuse de la falaise présente à cet endroit.</w:t>
      </w:r>
    </w:p>
    <w:p w:rsidR="002B09B0" w:rsidRDefault="004D6439" w:rsidP="00C454D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373370" cy="772160"/>
            <wp:effectExtent l="0" t="0" r="0" b="889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7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9B0" w:rsidRPr="00BF6940" w:rsidRDefault="002B09B0" w:rsidP="00C454DD">
      <w:pPr>
        <w:pStyle w:val="Paragraphedeliste"/>
        <w:numPr>
          <w:ilvl w:val="0"/>
          <w:numId w:val="5"/>
        </w:numPr>
        <w:spacing w:after="60"/>
        <w:ind w:left="992" w:hanging="357"/>
        <w:jc w:val="both"/>
        <w:rPr>
          <w:i/>
        </w:rPr>
      </w:pPr>
      <w:r>
        <w:t>L’a</w:t>
      </w:r>
      <w:r w:rsidRPr="00D10773">
        <w:t>rticle L121-21 du Code de l’urbanisme indique que « </w:t>
      </w:r>
      <w:r w:rsidRPr="00BF6940">
        <w:rPr>
          <w:i/>
        </w:rPr>
        <w:t xml:space="preserve">Pour déterminer la capacité d'accueil des espaces urbanisés ou à urbaniser, les documents d'urbanisme doivent tenir compte : </w:t>
      </w:r>
    </w:p>
    <w:p w:rsidR="002B09B0" w:rsidRPr="00C454DD" w:rsidRDefault="002B09B0" w:rsidP="00C454DD">
      <w:pPr>
        <w:ind w:left="993"/>
        <w:jc w:val="both"/>
      </w:pPr>
      <w:r w:rsidRPr="00BF6940">
        <w:rPr>
          <w:i/>
        </w:rPr>
        <w:t>3° Des conditions de fréquentation par le public des espaces naturels, du rivage et des équipements qui y sont liés. </w:t>
      </w:r>
      <w:r w:rsidRPr="00C454DD">
        <w:t>»</w:t>
      </w:r>
    </w:p>
    <w:p w:rsidR="002B09B0" w:rsidRPr="00296DBD" w:rsidRDefault="002B09B0" w:rsidP="00D543D3">
      <w:pPr>
        <w:ind w:left="993"/>
        <w:jc w:val="both"/>
      </w:pPr>
      <w:r w:rsidRPr="00296DBD">
        <w:t xml:space="preserve">Le dossier de concertation ne tient pas compte des conditions de fréquentation du rivage par le public. Sur le plan du stationnement, </w:t>
      </w:r>
      <w:r w:rsidR="00D543D3" w:rsidRPr="00296DBD">
        <w:t>le projet</w:t>
      </w:r>
      <w:r w:rsidRPr="00296DBD">
        <w:t xml:space="preserve"> réduit de fait les surfaces disponibles en privatisant une partie de l’espace public</w:t>
      </w:r>
      <w:r w:rsidR="00BF6940">
        <w:t>. D’</w:t>
      </w:r>
      <w:r w:rsidRPr="00296DBD">
        <w:t xml:space="preserve">autre part </w:t>
      </w:r>
      <w:r w:rsidR="00296DBD" w:rsidRPr="00296DBD">
        <w:t xml:space="preserve">l’activité de l’établissement entraînera une concurrence </w:t>
      </w:r>
      <w:r w:rsidR="00BF6940">
        <w:t>continue</w:t>
      </w:r>
      <w:r w:rsidRPr="00296DBD">
        <w:t xml:space="preserve"> </w:t>
      </w:r>
      <w:r w:rsidR="00296DBD" w:rsidRPr="00296DBD">
        <w:t xml:space="preserve">entre les véhicules des résidents permanents, ceux liés à l’activité </w:t>
      </w:r>
      <w:r w:rsidRPr="00296DBD">
        <w:t>(clientèle des deux sites, fournisseurs, salariés, stagiaires)</w:t>
      </w:r>
      <w:r w:rsidR="00296DBD" w:rsidRPr="00296DBD">
        <w:t xml:space="preserve"> et ceux des utilisateurs de la plage</w:t>
      </w:r>
      <w:r w:rsidRPr="00296DBD">
        <w:t>.</w:t>
      </w:r>
    </w:p>
    <w:p w:rsidR="002B09B0" w:rsidRPr="00D10773" w:rsidRDefault="00D26783" w:rsidP="00D543D3">
      <w:pPr>
        <w:ind w:left="993"/>
        <w:jc w:val="both"/>
      </w:pPr>
      <w:r>
        <w:t>Dans c</w:t>
      </w:r>
      <w:r w:rsidR="00296DBD">
        <w:t>es conditions, la fréquentation de la plage sera difficile, seuls les utilisateurs des</w:t>
      </w:r>
      <w:r w:rsidR="002B09B0">
        <w:t xml:space="preserve"> équipements hôteliers, non accessibles</w:t>
      </w:r>
      <w:r w:rsidR="00296DBD" w:rsidRPr="00296DBD">
        <w:t xml:space="preserve"> </w:t>
      </w:r>
      <w:r w:rsidR="00296DBD">
        <w:t>à la majorité de la population</w:t>
      </w:r>
      <w:r w:rsidR="004D6439">
        <w:t>,</w:t>
      </w:r>
      <w:r w:rsidR="00296DBD">
        <w:t xml:space="preserve"> disposeront de l’assurance d’y accéder.</w:t>
      </w:r>
      <w:r w:rsidR="002B09B0">
        <w:t xml:space="preserve"> </w:t>
      </w:r>
      <w:r w:rsidR="004D6439">
        <w:t xml:space="preserve">Cela </w:t>
      </w:r>
      <w:r w:rsidR="002B09B0">
        <w:t xml:space="preserve">modifierait de façon importante et inégalitaire les conditions de fréquentation par le public des espaces naturels et du rivage. </w:t>
      </w:r>
    </w:p>
    <w:p w:rsidR="002B09B0" w:rsidRPr="00C454DD" w:rsidRDefault="002B09B0" w:rsidP="000A6066">
      <w:pPr>
        <w:pStyle w:val="Titre1"/>
        <w:ind w:left="142"/>
      </w:pPr>
      <w:r w:rsidRPr="00AF06E2">
        <w:t>Conclusion</w:t>
      </w:r>
    </w:p>
    <w:p w:rsidR="002B09B0" w:rsidRDefault="002B09B0" w:rsidP="00D543D3">
      <w:pPr>
        <w:ind w:left="993"/>
        <w:jc w:val="both"/>
      </w:pPr>
      <w:r w:rsidRPr="00AF06E2">
        <w:t>Par sa nature</w:t>
      </w:r>
      <w:r>
        <w:t xml:space="preserve"> et son emplacement</w:t>
      </w:r>
      <w:r w:rsidR="003B2B54">
        <w:t>,</w:t>
      </w:r>
      <w:r>
        <w:t xml:space="preserve"> le projet du Groupe R</w:t>
      </w:r>
      <w:r w:rsidR="00BF6940">
        <w:t>aulic</w:t>
      </w:r>
      <w:r>
        <w:t xml:space="preserve"> ne peut être considéré comme répondant à </w:t>
      </w:r>
      <w:r w:rsidRPr="00C454DD">
        <w:t>l’intérêt général.</w:t>
      </w:r>
    </w:p>
    <w:p w:rsidR="004C4292" w:rsidRPr="007A63CE" w:rsidRDefault="004C4292" w:rsidP="00D543D3">
      <w:pPr>
        <w:ind w:left="993"/>
        <w:jc w:val="both"/>
      </w:pPr>
      <w:r>
        <w:t>L’utilisation du terrain doit répondre à un ou des besoins publics déterminés en concertation avec la population dès l’échec de la procédure actuelle.</w:t>
      </w:r>
    </w:p>
    <w:sectPr w:rsidR="004C4292" w:rsidRPr="007A63CE" w:rsidSect="00C454DD">
      <w:pgSz w:w="11906" w:h="16838"/>
      <w:pgMar w:top="1276" w:right="991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606" w:rsidRDefault="005A1606" w:rsidP="00DD47CA">
      <w:pPr>
        <w:spacing w:after="0" w:line="240" w:lineRule="auto"/>
      </w:pPr>
      <w:r>
        <w:separator/>
      </w:r>
    </w:p>
  </w:endnote>
  <w:endnote w:type="continuationSeparator" w:id="0">
    <w:p w:rsidR="005A1606" w:rsidRDefault="005A1606" w:rsidP="00DD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606" w:rsidRDefault="005A1606" w:rsidP="00DD47CA">
      <w:pPr>
        <w:spacing w:after="0" w:line="240" w:lineRule="auto"/>
      </w:pPr>
      <w:r>
        <w:separator/>
      </w:r>
    </w:p>
  </w:footnote>
  <w:footnote w:type="continuationSeparator" w:id="0">
    <w:p w:rsidR="005A1606" w:rsidRDefault="005A1606" w:rsidP="00DD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40DC"/>
    <w:multiLevelType w:val="hybridMultilevel"/>
    <w:tmpl w:val="EF204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5E4B"/>
    <w:multiLevelType w:val="hybridMultilevel"/>
    <w:tmpl w:val="6E96D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9F2"/>
    <w:multiLevelType w:val="hybridMultilevel"/>
    <w:tmpl w:val="864CA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B4167"/>
    <w:multiLevelType w:val="multilevel"/>
    <w:tmpl w:val="9598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65F62"/>
    <w:multiLevelType w:val="hybridMultilevel"/>
    <w:tmpl w:val="17BE5C2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F654CE6"/>
    <w:multiLevelType w:val="hybridMultilevel"/>
    <w:tmpl w:val="DFBA727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BD4E89"/>
    <w:multiLevelType w:val="hybridMultilevel"/>
    <w:tmpl w:val="335EF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CE"/>
    <w:rsid w:val="00071687"/>
    <w:rsid w:val="0007170B"/>
    <w:rsid w:val="000717EC"/>
    <w:rsid w:val="000853A3"/>
    <w:rsid w:val="000A6066"/>
    <w:rsid w:val="000C2B6A"/>
    <w:rsid w:val="0010567C"/>
    <w:rsid w:val="00131424"/>
    <w:rsid w:val="00144E61"/>
    <w:rsid w:val="0015441F"/>
    <w:rsid w:val="001A06A8"/>
    <w:rsid w:val="001A3A2B"/>
    <w:rsid w:val="001D1F3B"/>
    <w:rsid w:val="00213F40"/>
    <w:rsid w:val="00283D6D"/>
    <w:rsid w:val="00296DBD"/>
    <w:rsid w:val="002A38C7"/>
    <w:rsid w:val="002A6C05"/>
    <w:rsid w:val="002B09B0"/>
    <w:rsid w:val="00371938"/>
    <w:rsid w:val="00375020"/>
    <w:rsid w:val="00396901"/>
    <w:rsid w:val="003B2B54"/>
    <w:rsid w:val="003D20AF"/>
    <w:rsid w:val="0041012B"/>
    <w:rsid w:val="00412D41"/>
    <w:rsid w:val="004241E0"/>
    <w:rsid w:val="0045704D"/>
    <w:rsid w:val="004C4292"/>
    <w:rsid w:val="004D6439"/>
    <w:rsid w:val="0056367D"/>
    <w:rsid w:val="005711B8"/>
    <w:rsid w:val="00594CA6"/>
    <w:rsid w:val="005A1606"/>
    <w:rsid w:val="005A489A"/>
    <w:rsid w:val="006450F2"/>
    <w:rsid w:val="006B29EF"/>
    <w:rsid w:val="007062C2"/>
    <w:rsid w:val="007634B7"/>
    <w:rsid w:val="00767E76"/>
    <w:rsid w:val="00772649"/>
    <w:rsid w:val="00773A1F"/>
    <w:rsid w:val="007A63CE"/>
    <w:rsid w:val="007C1940"/>
    <w:rsid w:val="007D663A"/>
    <w:rsid w:val="007F650F"/>
    <w:rsid w:val="00805C99"/>
    <w:rsid w:val="0083002F"/>
    <w:rsid w:val="00843754"/>
    <w:rsid w:val="00847D0D"/>
    <w:rsid w:val="00865B24"/>
    <w:rsid w:val="00884392"/>
    <w:rsid w:val="00970715"/>
    <w:rsid w:val="009A4800"/>
    <w:rsid w:val="009C70CE"/>
    <w:rsid w:val="009D1E81"/>
    <w:rsid w:val="009F49A7"/>
    <w:rsid w:val="00A20310"/>
    <w:rsid w:val="00A32743"/>
    <w:rsid w:val="00AF06E2"/>
    <w:rsid w:val="00B21787"/>
    <w:rsid w:val="00B32FC1"/>
    <w:rsid w:val="00B61FEC"/>
    <w:rsid w:val="00B85548"/>
    <w:rsid w:val="00BC71A0"/>
    <w:rsid w:val="00BD4841"/>
    <w:rsid w:val="00BF6940"/>
    <w:rsid w:val="00C454DD"/>
    <w:rsid w:val="00CA1B66"/>
    <w:rsid w:val="00CA1E05"/>
    <w:rsid w:val="00CA4CE2"/>
    <w:rsid w:val="00D10773"/>
    <w:rsid w:val="00D26783"/>
    <w:rsid w:val="00D543D3"/>
    <w:rsid w:val="00D72014"/>
    <w:rsid w:val="00DC10B2"/>
    <w:rsid w:val="00DD47CA"/>
    <w:rsid w:val="00DE2B52"/>
    <w:rsid w:val="00EA106D"/>
    <w:rsid w:val="00EF6585"/>
    <w:rsid w:val="00F55402"/>
    <w:rsid w:val="00F67573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06D"/>
    <w:pPr>
      <w:spacing w:after="160" w:line="259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0567C"/>
    <w:pPr>
      <w:ind w:left="-426"/>
      <w:outlineLvl w:val="0"/>
    </w:pPr>
    <w:rPr>
      <w:rFonts w:eastAsia="Times New Roman"/>
      <w:b/>
      <w:color w:val="000000"/>
      <w:kern w:val="24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10567C"/>
    <w:pPr>
      <w:outlineLvl w:val="1"/>
    </w:pPr>
    <w:rPr>
      <w:rFonts w:eastAsia="Times New Roman"/>
      <w:color w:val="000000"/>
      <w:kern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0567C"/>
    <w:rPr>
      <w:rFonts w:eastAsia="Times New Roman" w:hAnsi="Calibri" w:cs="Times New Roman"/>
      <w:b/>
      <w:color w:val="000000"/>
      <w:kern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locked/>
    <w:rsid w:val="0010567C"/>
    <w:rPr>
      <w:rFonts w:eastAsia="Times New Roman" w:hAnsi="Calibri" w:cs="Times New Roman"/>
      <w:color w:val="000000"/>
      <w:kern w:val="24"/>
      <w:u w:val="single"/>
    </w:rPr>
  </w:style>
  <w:style w:type="paragraph" w:styleId="NormalWeb">
    <w:name w:val="Normal (Web)"/>
    <w:basedOn w:val="Normal"/>
    <w:uiPriority w:val="99"/>
    <w:semiHidden/>
    <w:rsid w:val="007A6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20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3D2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D20A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rsid w:val="003D20A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D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7CA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D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7C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2018-02-25T23:45:00Z</dcterms:created>
  <dcterms:modified xsi:type="dcterms:W3CDTF">2018-02-25T23:45:00Z</dcterms:modified>
</cp:coreProperties>
</file>